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FE7" w:rsidRPr="001B663E" w:rsidRDefault="000C0B60" w:rsidP="00DF2FE7">
      <w:pPr>
        <w:spacing w:before="120" w:after="120" w:line="240" w:lineRule="auto"/>
        <w:ind w:left="6480" w:firstLine="720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1B663E">
        <w:rPr>
          <w:rFonts w:ascii="Times New Roman" w:eastAsia="Calibri" w:hAnsi="Times New Roman" w:cs="Times New Roman"/>
          <w:i/>
          <w:sz w:val="24"/>
          <w:szCs w:val="24"/>
        </w:rPr>
        <w:t>ОБРАЗЕЦ № 5</w:t>
      </w:r>
    </w:p>
    <w:p w:rsidR="00DF2FE7" w:rsidRPr="00DF2FE7" w:rsidRDefault="00DF2FE7" w:rsidP="00DF2FE7">
      <w:pPr>
        <w:widowControl w:val="0"/>
        <w:suppressAutoHyphens/>
        <w:spacing w:after="0" w:line="240" w:lineRule="auto"/>
        <w:ind w:left="2160" w:hanging="2160"/>
        <w:outlineLvl w:val="0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</w:p>
    <w:p w:rsidR="00DF2FE7" w:rsidRPr="00DF2FE7" w:rsidRDefault="00DF2FE7" w:rsidP="00DF2FE7">
      <w:pPr>
        <w:widowControl w:val="0"/>
        <w:suppressAutoHyphens/>
        <w:spacing w:after="0" w:line="240" w:lineRule="auto"/>
        <w:ind w:left="2160" w:hanging="2160"/>
        <w:outlineLvl w:val="0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</w:p>
    <w:p w:rsidR="00DF2FE7" w:rsidRPr="00DF2FE7" w:rsidRDefault="00DF2FE7" w:rsidP="00DF2FE7">
      <w:pPr>
        <w:widowControl w:val="0"/>
        <w:suppressAutoHyphens/>
        <w:spacing w:after="0" w:line="240" w:lineRule="auto"/>
        <w:ind w:left="2160" w:hanging="2160"/>
        <w:jc w:val="center"/>
        <w:outlineLvl w:val="0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  <w:bookmarkStart w:id="0" w:name="_Toc400111929"/>
      <w:bookmarkStart w:id="1" w:name="_Toc401149045"/>
      <w:bookmarkStart w:id="2" w:name="_Toc473293191"/>
      <w:r w:rsidRPr="00DF2FE7"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  <w:t>Д Е К Л А Р А Ц И Я</w:t>
      </w:r>
      <w:bookmarkEnd w:id="0"/>
      <w:bookmarkEnd w:id="1"/>
      <w:bookmarkEnd w:id="2"/>
    </w:p>
    <w:p w:rsidR="00DF2FE7" w:rsidRPr="00DF2FE7" w:rsidRDefault="00DF2FE7" w:rsidP="00DF2FE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  <w:r w:rsidRPr="00DF2FE7"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  <w:t>по</w:t>
      </w:r>
    </w:p>
    <w:p w:rsidR="00DF2FE7" w:rsidRPr="00DF2FE7" w:rsidRDefault="00DF2FE7" w:rsidP="00DF2FE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  <w:r w:rsidRPr="00DF2FE7"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  <w:t xml:space="preserve"> чл. 3, т. 8 и чл. 4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</w:p>
    <w:p w:rsidR="00DF2FE7" w:rsidRPr="00DF2FE7" w:rsidRDefault="00DF2FE7" w:rsidP="00DF2FE7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noProof/>
          <w:kern w:val="1"/>
          <w:sz w:val="24"/>
          <w:szCs w:val="24"/>
          <w:lang w:eastAsia="hi-IN" w:bidi="hi-IN"/>
        </w:rPr>
      </w:pPr>
    </w:p>
    <w:p w:rsidR="00DF2FE7" w:rsidRPr="00DF2FE7" w:rsidRDefault="00DF2FE7" w:rsidP="00C678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FE7">
        <w:rPr>
          <w:rFonts w:ascii="Times New Roman" w:eastAsia="Times New Roman" w:hAnsi="Times New Roman" w:cs="Times New Roman"/>
          <w:sz w:val="24"/>
          <w:szCs w:val="24"/>
        </w:rPr>
        <w:t>Долуподписаният/-</w:t>
      </w:r>
      <w:proofErr w:type="spellStart"/>
      <w:r w:rsidRPr="00DF2FE7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DF2FE7">
        <w:rPr>
          <w:rFonts w:ascii="Times New Roman" w:eastAsia="Times New Roman" w:hAnsi="Times New Roman" w:cs="Times New Roman"/>
          <w:sz w:val="24"/>
          <w:szCs w:val="24"/>
        </w:rPr>
        <w:t>/ ......................................................................................................</w:t>
      </w:r>
    </w:p>
    <w:p w:rsidR="00DF2FE7" w:rsidRDefault="00DF2FE7" w:rsidP="00C67867">
      <w:pPr>
        <w:pStyle w:val="NoSpacing"/>
        <w:jc w:val="both"/>
        <w:rPr>
          <w:b/>
          <w:bCs/>
          <w:i/>
          <w:lang w:val="en-US"/>
        </w:rPr>
      </w:pPr>
      <w:r w:rsidRPr="00DF2FE7">
        <w:rPr>
          <w:rFonts w:ascii="Times New Roman" w:eastAsia="Times New Roman" w:hAnsi="Times New Roman" w:cs="Times New Roman"/>
          <w:sz w:val="24"/>
          <w:szCs w:val="24"/>
        </w:rPr>
        <w:t xml:space="preserve">в качеството ми на .................................................................... </w:t>
      </w:r>
      <w:r w:rsidRPr="00C67867">
        <w:rPr>
          <w:rFonts w:ascii="Times New Roman" w:eastAsia="Times New Roman" w:hAnsi="Times New Roman" w:cs="Times New Roman"/>
          <w:i/>
          <w:sz w:val="24"/>
          <w:szCs w:val="24"/>
        </w:rPr>
        <w:t>(посочва се длъжността и качеството, в което лицето има право да представлява и управлява - напр. изпълнителен директор, управител или др.)</w:t>
      </w:r>
      <w:r w:rsidRPr="00DF2FE7">
        <w:rPr>
          <w:rFonts w:ascii="Times New Roman" w:eastAsia="Times New Roman" w:hAnsi="Times New Roman" w:cs="Times New Roman"/>
          <w:sz w:val="24"/>
          <w:szCs w:val="24"/>
        </w:rPr>
        <w:t xml:space="preserve"> на…………………….</w:t>
      </w:r>
      <w:r w:rsidR="00C6786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67867">
        <w:rPr>
          <w:rFonts w:ascii="Times New Roman" w:eastAsia="Times New Roman" w:hAnsi="Times New Roman" w:cs="Times New Roman"/>
          <w:i/>
          <w:sz w:val="24"/>
          <w:szCs w:val="24"/>
        </w:rPr>
        <w:t>(посочва се наименованието на участника)</w:t>
      </w:r>
      <w:r w:rsidRPr="00DF2FE7">
        <w:rPr>
          <w:rFonts w:ascii="Times New Roman" w:eastAsia="Times New Roman" w:hAnsi="Times New Roman" w:cs="Times New Roman"/>
          <w:sz w:val="24"/>
          <w:szCs w:val="24"/>
        </w:rPr>
        <w:t xml:space="preserve">, с ЕИК …………, със седалище и адрес на управление: ............................................................................ – участник </w:t>
      </w:r>
      <w:r w:rsidR="0050171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="002A671A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2A671A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A671A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2A671A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r w:rsidR="002A671A" w:rsidRPr="002A671A">
        <w:rPr>
          <w:rFonts w:ascii="Times New Roman" w:eastAsia="Times New Roman" w:hAnsi="Times New Roman" w:cs="Times New Roman"/>
          <w:sz w:val="24"/>
          <w:szCs w:val="24"/>
        </w:rPr>
        <w:t>:</w:t>
      </w:r>
      <w:r w:rsidR="002A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326C">
        <w:rPr>
          <w:rFonts w:ascii="Times New Roman" w:hAnsi="Times New Roman" w:cs="Times New Roman"/>
          <w:b/>
          <w:bCs/>
          <w:i/>
          <w:sz w:val="24"/>
          <w:szCs w:val="24"/>
        </w:rPr>
        <w:t>„</w:t>
      </w:r>
      <w:r w:rsidR="00B0326C">
        <w:rPr>
          <w:rFonts w:ascii="Times New Roman" w:hAnsi="Times New Roman" w:cs="Times New Roman"/>
          <w:b/>
          <w:i/>
          <w:sz w:val="24"/>
          <w:szCs w:val="24"/>
        </w:rPr>
        <w:t>Доставка на нетна електрическа енергия – средно напрежение и избор на координатор на балансираща група за Спортна зала „Орловец“”</w:t>
      </w:r>
    </w:p>
    <w:p w:rsidR="00C0610E" w:rsidRPr="00C0610E" w:rsidRDefault="00C0610E" w:rsidP="00C0610E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en-US" w:eastAsia="bg-BG"/>
        </w:rPr>
      </w:pPr>
    </w:p>
    <w:p w:rsidR="00DF2FE7" w:rsidRPr="00DF2FE7" w:rsidRDefault="00DF2FE7" w:rsidP="00DF2FE7">
      <w:pPr>
        <w:widowControl w:val="0"/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  <w:bookmarkStart w:id="3" w:name="_Toc400111930"/>
      <w:bookmarkStart w:id="4" w:name="_Toc401149046"/>
      <w:bookmarkStart w:id="5" w:name="_Toc473293192"/>
      <w:r w:rsidRPr="00DF2FE7"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  <w:t>ДЕКЛАРИРАМ:</w:t>
      </w:r>
      <w:bookmarkEnd w:id="3"/>
      <w:bookmarkEnd w:id="4"/>
      <w:bookmarkEnd w:id="5"/>
    </w:p>
    <w:p w:rsidR="00DF2FE7" w:rsidRPr="00DF2FE7" w:rsidRDefault="00DF2FE7" w:rsidP="00DF2FE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kern w:val="1"/>
          <w:sz w:val="24"/>
          <w:szCs w:val="24"/>
          <w:lang w:eastAsia="hi-IN" w:bidi="hi-IN"/>
        </w:rPr>
      </w:pPr>
    </w:p>
    <w:p w:rsidR="00DF2FE7" w:rsidRPr="00DF2FE7" w:rsidRDefault="00DF2FE7" w:rsidP="00DF2FE7">
      <w:pPr>
        <w:tabs>
          <w:tab w:val="left" w:pos="720"/>
        </w:tabs>
        <w:suppressAutoHyphens/>
        <w:spacing w:before="58" w:after="58" w:line="276" w:lineRule="auto"/>
        <w:jc w:val="both"/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</w:pPr>
      <w:r w:rsidRPr="00DF2FE7">
        <w:rPr>
          <w:rFonts w:ascii="Arial" w:eastAsia="Batang" w:hAnsi="Arial" w:cs="Arial"/>
          <w:kern w:val="1"/>
          <w:lang w:val="ru-RU"/>
        </w:rPr>
        <w:tab/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1. 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Представляваният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от мен участник </w:t>
      </w:r>
      <w:r w:rsidRPr="00DF2FE7">
        <w:rPr>
          <w:rFonts w:ascii="Times New Roman" w:eastAsia="Batang" w:hAnsi="Times New Roman" w:cs="Times New Roman"/>
          <w:b/>
          <w:kern w:val="1"/>
          <w:sz w:val="24"/>
          <w:szCs w:val="24"/>
          <w:lang w:val="ru-RU"/>
        </w:rPr>
        <w:t>е/не е</w:t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(</w:t>
      </w:r>
      <w:r w:rsidRPr="00DF2FE7">
        <w:rPr>
          <w:rFonts w:ascii="Times New Roman" w:eastAsia="Calibri" w:hAnsi="Times New Roman" w:cs="Times New Roman"/>
          <w:i/>
          <w:noProof/>
          <w:kern w:val="1"/>
          <w:sz w:val="24"/>
          <w:szCs w:val="24"/>
          <w:lang w:eastAsia="hi-IN" w:bidi="hi-IN"/>
        </w:rPr>
        <w:t>ненужното се зачертава</w:t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) дружество,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gram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в</w:t>
      </w:r>
      <w:proofErr w:type="gram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gram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юрисдикция</w:t>
      </w:r>
      <w:proofErr w:type="gram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/и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включително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и чрез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гражданско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дружество/консорциум, в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което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участва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юрисдикция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режим.</w:t>
      </w:r>
    </w:p>
    <w:p w:rsidR="00DF2FE7" w:rsidRPr="00DF2FE7" w:rsidRDefault="00DF2FE7" w:rsidP="00DF2FE7">
      <w:pPr>
        <w:suppressAutoHyphens/>
        <w:spacing w:before="58" w:after="58" w:line="276" w:lineRule="auto"/>
        <w:jc w:val="both"/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ab/>
        <w:t>2. 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Представляваният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от мен участник </w:t>
      </w:r>
      <w:r w:rsidRPr="00DF2FE7">
        <w:rPr>
          <w:rFonts w:ascii="Times New Roman" w:eastAsia="Batang" w:hAnsi="Times New Roman" w:cs="Times New Roman"/>
          <w:b/>
          <w:kern w:val="1"/>
          <w:sz w:val="24"/>
          <w:szCs w:val="24"/>
          <w:lang w:val="ru-RU"/>
        </w:rPr>
        <w:t>е/не е</w:t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(</w:t>
      </w: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</w:rPr>
        <w:t>ненужното се зачертава</w:t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)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контролирано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от лице</w:t>
      </w:r>
      <w:proofErr w:type="gram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,</w:t>
      </w:r>
      <w:proofErr w:type="gram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юрисдикция/и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включително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и чрез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гражданско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дружество/консорциум, в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което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участва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юрисдикция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режим.</w:t>
      </w:r>
    </w:p>
    <w:p w:rsidR="00DF2FE7" w:rsidRPr="00DF2FE7" w:rsidRDefault="00DF2FE7" w:rsidP="00542E62">
      <w:pPr>
        <w:suppressAutoHyphens/>
        <w:spacing w:before="58" w:after="58" w:line="276" w:lineRule="auto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zh-CN"/>
        </w:rPr>
      </w:pP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ab/>
      </w:r>
      <w:r w:rsidR="00542E62">
        <w:rPr>
          <w:rFonts w:ascii="Times New Roman" w:eastAsia="Batang" w:hAnsi="Times New Roman" w:cs="Times New Roman"/>
          <w:kern w:val="1"/>
          <w:sz w:val="24"/>
          <w:szCs w:val="24"/>
          <w:lang w:val="en-US"/>
        </w:rPr>
        <w:t>3</w:t>
      </w:r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.</w:t>
      </w:r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en-US" w:eastAsia="zh-CN"/>
        </w:rPr>
        <w:t> 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Представляваното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от мен дружество </w:t>
      </w:r>
      <w:proofErr w:type="spellStart"/>
      <w:r w:rsidRPr="00DF2FE7">
        <w:rPr>
          <w:rFonts w:ascii="Times New Roman" w:eastAsia="Times New Roman" w:hAnsi="Times New Roman" w:cs="Times New Roman"/>
          <w:b/>
          <w:kern w:val="1"/>
          <w:sz w:val="24"/>
          <w:szCs w:val="24"/>
          <w:lang w:val="ru-RU" w:eastAsia="zh-CN"/>
        </w:rPr>
        <w:t>попада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в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изключението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на </w:t>
      </w:r>
      <w:r w:rsidRPr="00DF2FE7">
        <w:rPr>
          <w:rFonts w:ascii="Times New Roman" w:eastAsia="Times New Roman" w:hAnsi="Times New Roman" w:cs="Times New Roman"/>
          <w:b/>
          <w:kern w:val="1"/>
          <w:sz w:val="24"/>
          <w:szCs w:val="24"/>
          <w:lang w:val="ru-RU" w:eastAsia="zh-CN"/>
        </w:rPr>
        <w:t xml:space="preserve">чл. 4, т. ___ </w:t>
      </w:r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от Закона за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икономическите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и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финансовите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отношения с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дружествата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,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регистрирани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в юрисдикции с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преференциален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данъчен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режим,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контролираните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от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тях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лица и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техните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действителни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собственици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.</w:t>
      </w:r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*</w:t>
      </w:r>
    </w:p>
    <w:p w:rsidR="00DF2FE7" w:rsidRPr="00DF2FE7" w:rsidRDefault="00DF2FE7" w:rsidP="00DF2FE7">
      <w:pPr>
        <w:suppressAutoHyphens/>
        <w:spacing w:before="58" w:after="58" w:line="276" w:lineRule="auto"/>
        <w:ind w:right="22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</w:pPr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ab/>
      </w:r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zh-CN"/>
        </w:rPr>
        <w:t>*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Тази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точка се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попълва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,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ако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дружеството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е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регистрирано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в юрисдикция с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преференциален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данъчен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режим или е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контролирано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от лице,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регистрирано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в юрисдикции с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преференциален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данъчен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режим,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като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се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посочва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конкретната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точка от чл. 4 от закона.</w:t>
      </w:r>
    </w:p>
    <w:p w:rsidR="00DF2FE7" w:rsidRPr="00DF2FE7" w:rsidRDefault="00DF2FE7" w:rsidP="00DF2FE7">
      <w:pPr>
        <w:suppressAutoHyphens/>
        <w:spacing w:before="58" w:after="58" w:line="276" w:lineRule="auto"/>
        <w:ind w:right="22"/>
        <w:jc w:val="both"/>
        <w:textAlignment w:val="center"/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</w:pPr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ab/>
      </w:r>
      <w:proofErr w:type="gramStart"/>
      <w:r w:rsidR="00542E62">
        <w:rPr>
          <w:rFonts w:ascii="Times New Roman" w:eastAsia="Times New Roman" w:hAnsi="Times New Roman" w:cs="Times New Roman"/>
          <w:bCs/>
          <w:kern w:val="1"/>
          <w:sz w:val="24"/>
          <w:szCs w:val="24"/>
          <w:lang w:val="en-US" w:eastAsia="zh-CN"/>
        </w:rPr>
        <w:t>4</w:t>
      </w:r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.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Запознат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съм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с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правомощията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на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възложителя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по чл.</w:t>
      </w:r>
      <w:proofErr w:type="gram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6, ал. 4,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във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връзка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с §7, ал. 2 от ЗР от Закона за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икономическите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и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финансовите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отношения с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дружествата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,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регистрирани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в юрисдикции с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преференциален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данъчен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режим,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контролираните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с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тях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лица и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техните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действителни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собственици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.</w:t>
      </w:r>
    </w:p>
    <w:p w:rsidR="00DF2FE7" w:rsidRPr="00DF2FE7" w:rsidRDefault="00DF2FE7" w:rsidP="00DF2FE7">
      <w:pPr>
        <w:suppressAutoHyphens/>
        <w:spacing w:after="0" w:line="276" w:lineRule="auto"/>
        <w:ind w:firstLine="709"/>
        <w:jc w:val="both"/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</w:pP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Задължавам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се при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промени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горепосочените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обстоятелства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да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уведомя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Възложителя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седемдневен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срок от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настъпването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им.</w:t>
      </w:r>
    </w:p>
    <w:p w:rsidR="00DF2FE7" w:rsidRPr="00DF2FE7" w:rsidRDefault="00DF2FE7" w:rsidP="00DF2F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noProof/>
          <w:kern w:val="1"/>
          <w:sz w:val="24"/>
          <w:szCs w:val="24"/>
          <w:lang w:eastAsia="hi-IN" w:bidi="hi-IN"/>
        </w:rPr>
      </w:pPr>
      <w:r w:rsidRPr="00DF2FE7">
        <w:rPr>
          <w:rFonts w:ascii="Times New Roman" w:eastAsia="Calibri" w:hAnsi="Times New Roman" w:cs="Times New Roman"/>
          <w:b/>
          <w:i/>
          <w:noProof/>
          <w:kern w:val="1"/>
          <w:sz w:val="24"/>
          <w:szCs w:val="24"/>
          <w:lang w:eastAsia="hi-IN" w:bidi="hi-IN"/>
        </w:rPr>
        <w:t>Известно ми е, че за неверни данни нося наказателна отговорност по чл. 313 от Наказателния кодекс.</w:t>
      </w:r>
    </w:p>
    <w:p w:rsidR="00DF2FE7" w:rsidRPr="00DF2FE7" w:rsidRDefault="00DF2FE7" w:rsidP="00DF2FE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2FE7" w:rsidRPr="00DF2FE7" w:rsidRDefault="00DF2FE7" w:rsidP="00DF2FE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FE7">
        <w:rPr>
          <w:rFonts w:ascii="Times New Roman" w:eastAsia="Times New Roman" w:hAnsi="Times New Roman" w:cs="Times New Roman"/>
          <w:sz w:val="24"/>
          <w:szCs w:val="24"/>
        </w:rPr>
        <w:t>Дата: .....................</w:t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  <w:t>Декларатор: ..............................</w:t>
      </w:r>
    </w:p>
    <w:p w:rsidR="00DF2FE7" w:rsidRPr="00DF2FE7" w:rsidRDefault="00DF2FE7" w:rsidP="00DF2FE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FE7">
        <w:rPr>
          <w:rFonts w:ascii="Times New Roman" w:eastAsia="Times New Roman" w:hAnsi="Times New Roman" w:cs="Times New Roman"/>
          <w:sz w:val="24"/>
          <w:szCs w:val="24"/>
        </w:rPr>
        <w:t>гр. ........................................</w:t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  <w:t>(подпис)</w:t>
      </w:r>
    </w:p>
    <w:p w:rsidR="00DF2FE7" w:rsidRPr="00DF2FE7" w:rsidRDefault="00DF2FE7" w:rsidP="00DF2FE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noProof/>
          <w:kern w:val="1"/>
          <w:sz w:val="24"/>
          <w:szCs w:val="24"/>
          <w:lang w:eastAsia="hi-IN" w:bidi="hi-IN"/>
        </w:rPr>
      </w:pPr>
    </w:p>
    <w:p w:rsidR="00DF2FE7" w:rsidRPr="00DF2FE7" w:rsidRDefault="00DF2FE7" w:rsidP="00DF2FE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noProof/>
          <w:kern w:val="1"/>
          <w:sz w:val="24"/>
          <w:szCs w:val="24"/>
          <w:lang w:eastAsia="hi-IN" w:bidi="hi-IN"/>
        </w:rPr>
      </w:pPr>
    </w:p>
    <w:p w:rsidR="00DF2FE7" w:rsidRPr="00C0610E" w:rsidRDefault="00DF2FE7" w:rsidP="00DF2FE7">
      <w:pPr>
        <w:shd w:val="clear" w:color="auto" w:fill="FFFFFF"/>
        <w:tabs>
          <w:tab w:val="left" w:leader="underscore" w:pos="2717"/>
          <w:tab w:val="left" w:pos="6677"/>
          <w:tab w:val="left" w:leader="underscore" w:pos="9923"/>
        </w:tabs>
        <w:suppressAutoHyphens/>
        <w:spacing w:after="0" w:line="240" w:lineRule="auto"/>
        <w:rPr>
          <w:rFonts w:ascii="Times New Roman" w:eastAsia="Batang" w:hAnsi="Times New Roman" w:cs="Times New Roman"/>
          <w:i/>
          <w:iCs/>
          <w:kern w:val="1"/>
          <w:lang w:val="ru-RU"/>
        </w:rPr>
      </w:pPr>
      <w:proofErr w:type="spellStart"/>
      <w:r w:rsidRPr="00C0610E">
        <w:rPr>
          <w:rFonts w:ascii="Times New Roman" w:eastAsia="Times New Roman" w:hAnsi="Times New Roman" w:cs="Times New Roman"/>
          <w:b/>
          <w:bCs/>
          <w:i/>
          <w:iCs/>
          <w:spacing w:val="-6"/>
          <w:kern w:val="1"/>
          <w:lang w:val="ru-RU" w:eastAsia="zh-CN"/>
        </w:rPr>
        <w:t>Забележки</w:t>
      </w:r>
      <w:proofErr w:type="spellEnd"/>
      <w:r w:rsidRPr="00C0610E">
        <w:rPr>
          <w:rFonts w:ascii="Times New Roman" w:eastAsia="Times New Roman" w:hAnsi="Times New Roman" w:cs="Times New Roman"/>
          <w:b/>
          <w:bCs/>
          <w:i/>
          <w:iCs/>
          <w:spacing w:val="-2"/>
          <w:kern w:val="1"/>
          <w:lang w:val="ru-RU" w:eastAsia="zh-CN"/>
        </w:rPr>
        <w:t>:</w:t>
      </w:r>
    </w:p>
    <w:p w:rsidR="00DF2FE7" w:rsidRPr="00C0610E" w:rsidRDefault="00DF2FE7" w:rsidP="00DF2FE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В случай, че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участникът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е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</w:t>
      </w:r>
      <w:proofErr w:type="gram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лице</w:t>
      </w:r>
      <w:proofErr w:type="gram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декларацията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се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подава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задължително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лицата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посочени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в чл.54, ал.2 от ЗОП.</w:t>
      </w:r>
    </w:p>
    <w:p w:rsidR="00DF2FE7" w:rsidRPr="00C0610E" w:rsidRDefault="00DF2FE7" w:rsidP="00DF2FE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В случай, че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участникът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е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обединение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, декларация се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представя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</w:t>
      </w:r>
      <w:proofErr w:type="gram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за</w:t>
      </w:r>
      <w:proofErr w:type="gram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всяко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физическо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лице, включено в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обединението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.</w:t>
      </w:r>
    </w:p>
    <w:p w:rsidR="00DF2FE7" w:rsidRPr="00C0610E" w:rsidRDefault="00DF2FE7" w:rsidP="00DF2FE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Когато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деклараторът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е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чуждестранен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гражданин,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декларацията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която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е </w:t>
      </w:r>
      <w:proofErr w:type="gram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на</w:t>
      </w:r>
      <w:proofErr w:type="gram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чужд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език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се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представя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и в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превод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.</w:t>
      </w:r>
    </w:p>
    <w:p w:rsidR="00DF2FE7" w:rsidRPr="00C0610E" w:rsidRDefault="00DF2FE7" w:rsidP="00DF2FE7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/>
        </w:rPr>
        <w:t>"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Свързани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лица"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смисъла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§ 1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допълнителните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разпоредби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Търговския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закон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: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съпрузите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роднините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по права линия - без ограничения,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съребрена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линия - до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четвърта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степен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включително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роднините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по сватовство - до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трета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степен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включително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;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en-GB" w:eastAsia="zh-CN"/>
        </w:rPr>
        <w:t>работодател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en-GB" w:eastAsia="zh-CN"/>
        </w:rPr>
        <w:t xml:space="preserve">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en-GB" w:eastAsia="zh-CN"/>
        </w:rPr>
        <w:t>работник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en-GB" w:eastAsia="zh-CN"/>
        </w:rPr>
        <w:t>;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лицата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едното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които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участва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управлението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другото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;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en-GB" w:eastAsia="zh-CN"/>
        </w:rPr>
        <w:t>съдружниците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en-GB" w:eastAsia="zh-CN"/>
        </w:rPr>
        <w:t>;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дружество и </w:t>
      </w: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лице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притежава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повече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от 5 на сто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дяловете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акциите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издадени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с право на глас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;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лицата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чиято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дейност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се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контролира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пряко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косвено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трето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лице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;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лицата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които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съвместно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контролират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пряко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косвено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трето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лице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;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лицата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едното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които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търговски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представител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другото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;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лицата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едното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които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е направило дарение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полза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другото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.</w:t>
      </w:r>
    </w:p>
    <w:p w:rsidR="00DF2FE7" w:rsidRPr="00C0610E" w:rsidRDefault="00DF2FE7" w:rsidP="00DF2FE7">
      <w:pPr>
        <w:suppressAutoHyphens/>
        <w:autoSpaceDE w:val="0"/>
        <w:spacing w:after="0" w:line="240" w:lineRule="auto"/>
        <w:ind w:left="360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/>
        </w:rPr>
        <w:t>„</w:t>
      </w:r>
      <w:proofErr w:type="spellStart"/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Контрол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" е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понятие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смисъла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§ 1в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допълнителните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разпоредби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Търговския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закон,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когато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едно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физическо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(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контролиращ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): </w:t>
      </w:r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1.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притежава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повече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половината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гласовете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общото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събрание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друго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лице, или </w:t>
      </w:r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2.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има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право да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определя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повече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половината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членовете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управителния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надзорния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орган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друго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същевременно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е акционер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съдружник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това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лице, или </w:t>
      </w:r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3.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има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право да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упражнява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решаващо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влияние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върху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друго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лице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силата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сключен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 него договор или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силата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неговия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дружествен договор или устав, или </w:t>
      </w:r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4. е акционер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съдружник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друго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и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силата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договор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други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акционери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съдружници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контролира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самостоятелно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повече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половината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гласовете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общото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събрание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това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лице.</w:t>
      </w:r>
      <w:proofErr w:type="gramEnd"/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Контрол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е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налице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когато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дружества,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юрисдикции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участват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пряко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косвено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управлението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капитала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друго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или лица и между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тях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уговарят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условия,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различни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обичайните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.</w:t>
      </w:r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spellStart"/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Забраната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Закона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финансовите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отношения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юрисдикции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контролираните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тях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лица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техните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не се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прилага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когато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Търговския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регистър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партидата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съобразно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чл. 6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същия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закон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вписани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едно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повече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изброените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по-долу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обстоятелства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посочени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чл. 4 от Закона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финансовите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отношения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юрисдикции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контролираните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тях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лица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техните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:</w:t>
      </w:r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1. 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акциите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пряко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косвено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участва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дружество,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се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търгуват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регулиран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пазар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многостранна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система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членка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Европейския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съюз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или в друга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страна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Европейското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пространство, или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еквивалентен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регулиран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пазар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определен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наредба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Комисията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финансов надзор, и за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прилагат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изискванията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правото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Европейския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съюз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прозрачност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отношение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информацията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емитентите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чиито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ценни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книжа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допуснати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търгуване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регулиран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пазар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многостранна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система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еквивалентни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международни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стандарти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физически лица,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разкрити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</w:t>
      </w:r>
      <w:proofErr w:type="spellStart"/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реда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съответния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специален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закон;</w:t>
      </w:r>
    </w:p>
    <w:p w:rsidR="002E2CB8" w:rsidRDefault="002E2CB8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lang w:val="en-US"/>
        </w:rPr>
      </w:pPr>
    </w:p>
    <w:p w:rsidR="00DF2FE7" w:rsidRPr="00C0610E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bookmarkStart w:id="6" w:name="_GoBack"/>
      <w:bookmarkEnd w:id="6"/>
      <w:r w:rsidRPr="00C0610E">
        <w:rPr>
          <w:rFonts w:ascii="Times New Roman" w:eastAsia="Batang" w:hAnsi="Times New Roman" w:cs="Times New Roman"/>
          <w:i/>
          <w:kern w:val="1"/>
          <w:lang w:val="ru-RU"/>
        </w:rPr>
        <w:lastRenderedPageBreak/>
        <w:t xml:space="preserve">2. </w:t>
      </w:r>
      <w:proofErr w:type="spellStart"/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е част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група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чието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дружество майка 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местно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цели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която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Република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България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има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влязла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сила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спогодба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избягване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двойното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облагане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влязло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сила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обмен на информация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неговите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физически лица,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вписани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регистъра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hyperlink r:id="rId8" w:history="1"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>чл. 6</w:t>
        </w:r>
      </w:hyperlink>
      <w:r w:rsidRPr="00C0610E">
        <w:rPr>
          <w:rFonts w:ascii="Times New Roman" w:eastAsia="Batang" w:hAnsi="Times New Roman" w:cs="Times New Roman"/>
          <w:i/>
          <w:kern w:val="1"/>
          <w:lang w:val="ru-RU"/>
        </w:rPr>
        <w:t>;</w:t>
      </w:r>
    </w:p>
    <w:p w:rsidR="00DF2FE7" w:rsidRPr="00C0610E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3.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е част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група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чието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дружество майка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дъщерно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дружество 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българско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местно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неговите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физически лица,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вписани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регистъра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чл. 6 или се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търгува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регулиран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пазар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многостранна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система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членка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Европейския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съюз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или в друга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страна по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Европейското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пространство;</w:t>
      </w:r>
    </w:p>
    <w:p w:rsidR="00DF2FE7" w:rsidRPr="00C0610E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4.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пряко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косвено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участва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дружество,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издател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периодични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печатни произведения и е представило информация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физически лица, по </w:t>
      </w:r>
      <w:proofErr w:type="spellStart"/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реда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hyperlink r:id="rId9" w:history="1"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 xml:space="preserve">Закона за </w:t>
        </w:r>
        <w:proofErr w:type="spellStart"/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>задължителното</w:t>
        </w:r>
        <w:proofErr w:type="spellEnd"/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 xml:space="preserve"> </w:t>
        </w:r>
        <w:proofErr w:type="spellStart"/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>депозиране</w:t>
        </w:r>
        <w:proofErr w:type="spellEnd"/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 xml:space="preserve"> на печатни и </w:t>
        </w:r>
        <w:proofErr w:type="spellStart"/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>други</w:t>
        </w:r>
        <w:proofErr w:type="spellEnd"/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 xml:space="preserve"> произведения</w:t>
        </w:r>
      </w:hyperlink>
      <w:r w:rsidRPr="00C0610E">
        <w:rPr>
          <w:rFonts w:ascii="Times New Roman" w:eastAsia="Batang" w:hAnsi="Times New Roman" w:cs="Times New Roman"/>
          <w:i/>
          <w:kern w:val="1"/>
          <w:lang w:val="ru-RU"/>
        </w:rPr>
        <w:t>.</w:t>
      </w:r>
    </w:p>
    <w:p w:rsidR="00DF2FE7" w:rsidRPr="00C0610E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5.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местно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цели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страна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поръчки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Световната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търговска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организация,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както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която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Европейският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съюз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има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сключено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двустранно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гарантиращо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достъпа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пазара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обществени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поръчки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Европейския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съюз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неговите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физически лица,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вписани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регистъра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чл. 6 от </w:t>
      </w:r>
      <w:r w:rsidRPr="00C0610E">
        <w:rPr>
          <w:rFonts w:ascii="Times New Roman" w:eastAsia="Calibri" w:hAnsi="Times New Roman" w:cs="Times New Roman"/>
          <w:i/>
          <w:noProof/>
          <w:color w:val="000000"/>
          <w:lang w:eastAsia="bg-BG"/>
        </w:rPr>
        <w:t>ЗИФОДРЮПДРКТЛТДС</w:t>
      </w:r>
      <w:r w:rsidRPr="00C0610E">
        <w:rPr>
          <w:rFonts w:ascii="Times New Roman" w:eastAsia="Calibri" w:hAnsi="Times New Roman" w:cs="Times New Roman"/>
          <w:noProof/>
          <w:color w:val="000000"/>
          <w:lang w:eastAsia="bg-BG"/>
        </w:rPr>
        <w:t xml:space="preserve"> </w:t>
      </w:r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–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дейностите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които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прилага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;</w:t>
      </w:r>
    </w:p>
    <w:p w:rsidR="00DF2FE7" w:rsidRPr="00C0610E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6. 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местно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цели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отвъдморска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страна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територия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съгласно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hyperlink r:id="rId10" w:history="1"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 xml:space="preserve">Решение на </w:t>
        </w:r>
        <w:proofErr w:type="spellStart"/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>Съвета</w:t>
        </w:r>
        <w:proofErr w:type="spellEnd"/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 xml:space="preserve"> 2013/755/ЕС</w:t>
        </w:r>
      </w:hyperlink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25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ноември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2013 г.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асоцииране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отвъдморските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страни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територии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към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Европейския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съюз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("Решение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отвъдморско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асоцииране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") (OB, L 344/1 от 19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декември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2013 г.)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неговите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физически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лица,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вписани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регистъра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</w:t>
      </w:r>
      <w:hyperlink r:id="rId11" w:history="1"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>чл. 6</w:t>
        </w:r>
      </w:hyperlink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ЗИФОДРЮПДРКТЛТДС –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дейностите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които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прилага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решението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;</w:t>
      </w:r>
    </w:p>
    <w:p w:rsidR="00DF2FE7" w:rsidRPr="00C0610E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7.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местно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цели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която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Република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България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има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сключено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международно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и/или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включително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задължения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Общото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търговията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 услуги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Световната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търговска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организация,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неговите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физически лица,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вписани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регистъра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чл. 6 от ЗИФОДРЮПДРКТЛТДС;</w:t>
      </w:r>
      <w:proofErr w:type="gramEnd"/>
    </w:p>
    <w:p w:rsidR="00DF2FE7" w:rsidRPr="00C0610E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8.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е част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група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чието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дружество майка 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местно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цели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която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Република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България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има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сключено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международно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и/или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включително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задължения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Общото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търговията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 услуги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Световната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търговска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организация,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неговите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физически лица,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вписани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регистъра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чл. 6 от ЗИФОДРЮПДРКТЛТДС.</w:t>
      </w:r>
    </w:p>
    <w:p w:rsidR="00B11D5D" w:rsidRPr="00C0610E" w:rsidRDefault="00B11D5D">
      <w:pPr>
        <w:rPr>
          <w:rFonts w:ascii="Times New Roman" w:hAnsi="Times New Roman" w:cs="Times New Roman"/>
        </w:rPr>
      </w:pPr>
    </w:p>
    <w:sectPr w:rsidR="00B11D5D" w:rsidRPr="00C0610E" w:rsidSect="000840EE">
      <w:footerReference w:type="even" r:id="rId12"/>
      <w:footerReference w:type="default" r:id="rId13"/>
      <w:pgSz w:w="11906" w:h="16838"/>
      <w:pgMar w:top="1135" w:right="991" w:bottom="1079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15A" w:rsidRDefault="000B615A">
      <w:pPr>
        <w:spacing w:after="0" w:line="240" w:lineRule="auto"/>
      </w:pPr>
      <w:r>
        <w:separator/>
      </w:r>
    </w:p>
  </w:endnote>
  <w:endnote w:type="continuationSeparator" w:id="0">
    <w:p w:rsidR="000B615A" w:rsidRDefault="000B6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A1761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40EE" w:rsidRDefault="000B615A" w:rsidP="000840E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A1761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E2CB8">
      <w:rPr>
        <w:rStyle w:val="PageNumber"/>
        <w:noProof/>
      </w:rPr>
      <w:t>3</w:t>
    </w:r>
    <w:r>
      <w:rPr>
        <w:rStyle w:val="PageNumber"/>
      </w:rPr>
      <w:fldChar w:fldCharType="end"/>
    </w:r>
  </w:p>
  <w:p w:rsidR="000840EE" w:rsidRDefault="000B615A" w:rsidP="000840E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15A" w:rsidRDefault="000B615A">
      <w:pPr>
        <w:spacing w:after="0" w:line="240" w:lineRule="auto"/>
      </w:pPr>
      <w:r>
        <w:separator/>
      </w:r>
    </w:p>
  </w:footnote>
  <w:footnote w:type="continuationSeparator" w:id="0">
    <w:p w:rsidR="000B615A" w:rsidRDefault="000B61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8E74653"/>
    <w:multiLevelType w:val="hybridMultilevel"/>
    <w:tmpl w:val="618221C0"/>
    <w:lvl w:ilvl="0" w:tplc="040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FE7"/>
    <w:rsid w:val="00063DA6"/>
    <w:rsid w:val="000B615A"/>
    <w:rsid w:val="000C0B60"/>
    <w:rsid w:val="001B663E"/>
    <w:rsid w:val="002A671A"/>
    <w:rsid w:val="002E2CB8"/>
    <w:rsid w:val="00436395"/>
    <w:rsid w:val="00501718"/>
    <w:rsid w:val="00542E62"/>
    <w:rsid w:val="00690B5B"/>
    <w:rsid w:val="006A558E"/>
    <w:rsid w:val="00932996"/>
    <w:rsid w:val="00960CC7"/>
    <w:rsid w:val="00A1761A"/>
    <w:rsid w:val="00B0326C"/>
    <w:rsid w:val="00B11D5D"/>
    <w:rsid w:val="00C0610E"/>
    <w:rsid w:val="00C67867"/>
    <w:rsid w:val="00CE7F5C"/>
    <w:rsid w:val="00DF2FE7"/>
    <w:rsid w:val="00EA2CC7"/>
    <w:rsid w:val="00FD34DF"/>
    <w:rsid w:val="00FF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F2FE7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DF2FE7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F2FE7"/>
    <w:rPr>
      <w:rFonts w:cs="Times New Roman"/>
    </w:rPr>
  </w:style>
  <w:style w:type="paragraph" w:styleId="NoSpacing">
    <w:name w:val="No Spacing"/>
    <w:uiPriority w:val="1"/>
    <w:qFormat/>
    <w:rsid w:val="0093299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F2FE7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DF2FE7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F2FE7"/>
    <w:rPr>
      <w:rFonts w:cs="Times New Roman"/>
    </w:rPr>
  </w:style>
  <w:style w:type="paragraph" w:styleId="NoSpacing">
    <w:name w:val="No Spacing"/>
    <w:uiPriority w:val="1"/>
    <w:qFormat/>
    <w:rsid w:val="009329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5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41091&amp;ToPar=Art6&amp;Type=201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apis://Base=NARH&amp;DocCode=41091&amp;ToPar=Art6&amp;Type=20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pis://Base=APEV&amp;CELEX=32013D0755&amp;Type=201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40001&amp;Type=2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1424</Words>
  <Characters>8118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Yanka Zdravkova</cp:lastModifiedBy>
  <cp:revision>13</cp:revision>
  <dcterms:created xsi:type="dcterms:W3CDTF">2019-03-31T09:59:00Z</dcterms:created>
  <dcterms:modified xsi:type="dcterms:W3CDTF">2020-03-09T12:45:00Z</dcterms:modified>
</cp:coreProperties>
</file>